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sz w:val="36"/>
          <w:szCs w:val="36"/>
        </w:rPr>
      </w:pPr>
      <w:bookmarkStart w:colFirst="0" w:colLast="0" w:name="_je93xjir1ply" w:id="0"/>
      <w:bookmarkEnd w:id="0"/>
      <w:r w:rsidDel="00000000" w:rsidR="00000000" w:rsidRPr="00000000">
        <w:rPr>
          <w:b w:val="1"/>
          <w:sz w:val="36"/>
          <w:szCs w:val="36"/>
          <w:rtl w:val="0"/>
        </w:rPr>
        <w:t xml:space="preserve">Information on Financial Services Provided by RICHTWERT CAPITAL AG</w:t>
      </w:r>
    </w:p>
    <w:p w:rsidR="00000000" w:rsidDel="00000000" w:rsidP="00000000" w:rsidRDefault="00000000" w:rsidRPr="00000000" w14:paraId="00000002">
      <w:pPr>
        <w:spacing w:after="240" w:before="240" w:lineRule="auto"/>
        <w:rPr>
          <w:b w:val="1"/>
          <w:sz w:val="20"/>
          <w:szCs w:val="20"/>
        </w:rPr>
      </w:pPr>
      <w:r w:rsidDel="00000000" w:rsidR="00000000" w:rsidRPr="00000000">
        <w:rPr>
          <w:b w:val="1"/>
          <w:sz w:val="20"/>
          <w:szCs w:val="20"/>
          <w:rtl w:val="0"/>
        </w:rPr>
        <w:t xml:space="preserve">Dear Sir or Madam,</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This information brochure provides details about RICHTWERT CAPITAL AG (hereinafter referred to as the “Asset Manager”), our measures to prevent loss of contact or dormant assets, the financial services we offer and their associated risks, our approach to handling conflicts of interest, and the process for initiating mediation proceedings through an ombudsman. The information in this brochure may change from time to time. The most current version of this brochure can be obtained upon request at any time.</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Information regarding the costs and fees associated with our financial services is provided in the applicable financial services agreement.</w:t>
      </w:r>
    </w:p>
    <w:p w:rsidR="00000000" w:rsidDel="00000000" w:rsidP="00000000" w:rsidRDefault="00000000" w:rsidRPr="00000000" w14:paraId="00000005">
      <w:pPr>
        <w:spacing w:after="240" w:before="240" w:lineRule="auto"/>
        <w:rPr>
          <w:sz w:val="20"/>
          <w:szCs w:val="20"/>
        </w:rPr>
      </w:pPr>
      <w:r w:rsidDel="00000000" w:rsidR="00000000" w:rsidRPr="00000000">
        <w:rPr>
          <w:sz w:val="20"/>
          <w:szCs w:val="20"/>
          <w:rtl w:val="0"/>
        </w:rPr>
        <w:t xml:space="preserve">For information on the general risks associated with financial instruments, please refer to the brochure “Risks in Trading Financial Instruments” published by the Swiss Bankers Association. This brochure is available online at https://www.swissbanking.ch/en/downloads.</w:t>
      </w:r>
    </w:p>
    <w:p w:rsidR="00000000" w:rsidDel="00000000" w:rsidP="00000000" w:rsidRDefault="00000000" w:rsidRPr="00000000" w14:paraId="00000006">
      <w:pPr>
        <w:spacing w:after="240" w:before="240" w:lineRule="auto"/>
        <w:rPr>
          <w:sz w:val="20"/>
          <w:szCs w:val="20"/>
        </w:rPr>
      </w:pPr>
      <w:r w:rsidDel="00000000" w:rsidR="00000000" w:rsidRPr="00000000">
        <w:rPr>
          <w:sz w:val="20"/>
          <w:szCs w:val="20"/>
          <w:rtl w:val="0"/>
        </w:rPr>
        <w:t xml:space="preserve">This brochure fulfills the disclosure requirements under the Financial Services Act and aims to provide you with an overview of the financial services offered by the Asset Manager. Should you require further information, we are happy to assist you during a personal consultation.</w:t>
      </w:r>
    </w:p>
    <w:p w:rsidR="00000000" w:rsidDel="00000000" w:rsidP="00000000" w:rsidRDefault="00000000" w:rsidRPr="00000000" w14:paraId="00000007">
      <w:pPr>
        <w:spacing w:after="240" w:before="240" w:lineRule="auto"/>
        <w:rPr>
          <w:b w:val="1"/>
          <w:sz w:val="20"/>
          <w:szCs w:val="20"/>
        </w:rPr>
      </w:pPr>
      <w:r w:rsidDel="00000000" w:rsidR="00000000" w:rsidRPr="00000000">
        <w:rPr>
          <w:b w:val="1"/>
          <w:sz w:val="20"/>
          <w:szCs w:val="20"/>
          <w:rtl w:val="0"/>
        </w:rPr>
        <w:t xml:space="preserve">Yours sincerely,</w:t>
        <w:br w:type="textWrapping"/>
        <w:t xml:space="preserve">RICHTWERT CAPITAL AG</w:t>
      </w:r>
    </w:p>
    <w:p w:rsidR="00000000" w:rsidDel="00000000" w:rsidP="00000000" w:rsidRDefault="00000000" w:rsidRPr="00000000" w14:paraId="00000008">
      <w:pPr>
        <w:pStyle w:val="Heading2"/>
        <w:keepNext w:val="0"/>
        <w:keepLines w:val="0"/>
        <w:spacing w:after="80" w:lineRule="auto"/>
        <w:rPr>
          <w:b w:val="1"/>
        </w:rPr>
      </w:pPr>
      <w:bookmarkStart w:colFirst="0" w:colLast="0" w:name="_2kfegtd8q6vc" w:id="1"/>
      <w:bookmarkEnd w:id="1"/>
      <w:r w:rsidDel="00000000" w:rsidR="00000000" w:rsidRPr="00000000">
        <w:rPr>
          <w:b w:val="1"/>
          <w:rtl w:val="0"/>
        </w:rPr>
        <w:t xml:space="preserve">Table of Contents</w:t>
      </w:r>
    </w:p>
    <w:p w:rsidR="00000000" w:rsidDel="00000000" w:rsidP="00000000" w:rsidRDefault="00000000" w:rsidRPr="00000000" w14:paraId="00000009">
      <w:pPr>
        <w:numPr>
          <w:ilvl w:val="0"/>
          <w:numId w:val="3"/>
        </w:numPr>
        <w:spacing w:after="0" w:afterAutospacing="0" w:before="240" w:lineRule="auto"/>
        <w:ind w:left="720" w:hanging="360"/>
        <w:rPr>
          <w:sz w:val="20"/>
          <w:szCs w:val="20"/>
        </w:rPr>
      </w:pPr>
      <w:r w:rsidDel="00000000" w:rsidR="00000000" w:rsidRPr="00000000">
        <w:rPr>
          <w:b w:val="1"/>
          <w:sz w:val="20"/>
          <w:szCs w:val="20"/>
          <w:rtl w:val="0"/>
        </w:rPr>
        <w:t xml:space="preserve">Information About the Asset Manager</w:t>
        <w:br w:type="textWrapping"/>
      </w:r>
      <w:r w:rsidDel="00000000" w:rsidR="00000000" w:rsidRPr="00000000">
        <w:rPr>
          <w:sz w:val="20"/>
          <w:szCs w:val="20"/>
          <w:rtl w:val="0"/>
        </w:rPr>
        <w:t xml:space="preserve">1.1 Name and Address</w:t>
        <w:br w:type="textWrapping"/>
        <w:t xml:space="preserve">1.2 Scope of Activities</w:t>
        <w:br w:type="textWrapping"/>
        <w:t xml:space="preserve">1.3 Supervisory Status and Competent Authority/Organization</w:t>
        <w:br w:type="textWrapping"/>
        <w:t xml:space="preserve">1.4 Professional Confidentiality</w:t>
      </w:r>
    </w:p>
    <w:p w:rsidR="00000000" w:rsidDel="00000000" w:rsidP="00000000" w:rsidRDefault="00000000" w:rsidRPr="00000000" w14:paraId="0000000A">
      <w:pPr>
        <w:numPr>
          <w:ilvl w:val="0"/>
          <w:numId w:val="3"/>
        </w:numPr>
        <w:spacing w:after="0" w:afterAutospacing="0" w:before="0" w:beforeAutospacing="0" w:lineRule="auto"/>
        <w:ind w:left="720" w:hanging="360"/>
        <w:rPr>
          <w:sz w:val="20"/>
          <w:szCs w:val="20"/>
        </w:rPr>
      </w:pPr>
      <w:r w:rsidDel="00000000" w:rsidR="00000000" w:rsidRPr="00000000">
        <w:rPr>
          <w:b w:val="1"/>
          <w:sz w:val="20"/>
          <w:szCs w:val="20"/>
          <w:rtl w:val="0"/>
        </w:rPr>
        <w:t xml:space="preserve">Dormant Assets</w:t>
      </w:r>
    </w:p>
    <w:p w:rsidR="00000000" w:rsidDel="00000000" w:rsidP="00000000" w:rsidRDefault="00000000" w:rsidRPr="00000000" w14:paraId="0000000B">
      <w:pPr>
        <w:numPr>
          <w:ilvl w:val="0"/>
          <w:numId w:val="3"/>
        </w:numPr>
        <w:spacing w:after="0" w:afterAutospacing="0" w:before="0" w:beforeAutospacing="0" w:lineRule="auto"/>
        <w:ind w:left="720" w:hanging="360"/>
        <w:rPr>
          <w:sz w:val="20"/>
          <w:szCs w:val="20"/>
        </w:rPr>
      </w:pPr>
      <w:r w:rsidDel="00000000" w:rsidR="00000000" w:rsidRPr="00000000">
        <w:rPr>
          <w:b w:val="1"/>
          <w:sz w:val="20"/>
          <w:szCs w:val="20"/>
          <w:rtl w:val="0"/>
        </w:rPr>
        <w:t xml:space="preserve">Information on Financial Services Offered by the Asset Manager</w:t>
        <w:br w:type="textWrapping"/>
      </w:r>
      <w:r w:rsidDel="00000000" w:rsidR="00000000" w:rsidRPr="00000000">
        <w:rPr>
          <w:sz w:val="20"/>
          <w:szCs w:val="20"/>
          <w:rtl w:val="0"/>
        </w:rPr>
        <w:t xml:space="preserve">3.1 Asset Management</w:t>
        <w:br w:type="textWrapping"/>
        <w:t xml:space="preserve">3.1.1 Nature, Characteristics, and Functioning of the Financial Service</w:t>
        <w:br w:type="textWrapping"/>
        <w:t xml:space="preserve">3.1.2 Rights and Obligations</w:t>
        <w:br w:type="textWrapping"/>
        <w:t xml:space="preserve">3.1.3 Risks</w:t>
        <w:br w:type="textWrapping"/>
        <w:t xml:space="preserve">3.1.4 Considered Market Offering</w:t>
      </w:r>
    </w:p>
    <w:p w:rsidR="00000000" w:rsidDel="00000000" w:rsidP="00000000" w:rsidRDefault="00000000" w:rsidRPr="00000000" w14:paraId="0000000C">
      <w:pPr>
        <w:numPr>
          <w:ilvl w:val="0"/>
          <w:numId w:val="3"/>
        </w:numPr>
        <w:spacing w:after="0" w:afterAutospacing="0" w:before="0" w:beforeAutospacing="0" w:lineRule="auto"/>
        <w:ind w:left="720" w:hanging="360"/>
        <w:rPr>
          <w:sz w:val="20"/>
          <w:szCs w:val="20"/>
        </w:rPr>
      </w:pPr>
      <w:r w:rsidDel="00000000" w:rsidR="00000000" w:rsidRPr="00000000">
        <w:rPr>
          <w:b w:val="1"/>
          <w:sz w:val="20"/>
          <w:szCs w:val="20"/>
          <w:rtl w:val="0"/>
        </w:rPr>
        <w:t xml:space="preserve">Handling Conflicts of Interest</w:t>
        <w:br w:type="textWrapping"/>
      </w:r>
      <w:r w:rsidDel="00000000" w:rsidR="00000000" w:rsidRPr="00000000">
        <w:rPr>
          <w:sz w:val="20"/>
          <w:szCs w:val="20"/>
          <w:rtl w:val="0"/>
        </w:rPr>
        <w:t xml:space="preserve">4.1 General Information</w:t>
        <w:br w:type="textWrapping"/>
        <w:t xml:space="preserve">4.2 Additional Information</w:t>
      </w:r>
    </w:p>
    <w:p w:rsidR="00000000" w:rsidDel="00000000" w:rsidP="00000000" w:rsidRDefault="00000000" w:rsidRPr="00000000" w14:paraId="0000000D">
      <w:pPr>
        <w:numPr>
          <w:ilvl w:val="0"/>
          <w:numId w:val="3"/>
        </w:numPr>
        <w:spacing w:after="240" w:before="0" w:beforeAutospacing="0" w:lineRule="auto"/>
        <w:ind w:left="720" w:hanging="360"/>
        <w:rPr>
          <w:sz w:val="20"/>
          <w:szCs w:val="20"/>
        </w:rPr>
      </w:pPr>
      <w:r w:rsidDel="00000000" w:rsidR="00000000" w:rsidRPr="00000000">
        <w:rPr>
          <w:b w:val="1"/>
          <w:sz w:val="20"/>
          <w:szCs w:val="20"/>
          <w:rtl w:val="0"/>
        </w:rPr>
        <w:t xml:space="preserve">Ombudsman</w:t>
      </w:r>
    </w:p>
    <w:p w:rsidR="00000000" w:rsidDel="00000000" w:rsidP="00000000" w:rsidRDefault="00000000" w:rsidRPr="00000000" w14:paraId="0000000E">
      <w:pPr>
        <w:pStyle w:val="Heading2"/>
        <w:keepNext w:val="0"/>
        <w:keepLines w:val="0"/>
        <w:spacing w:after="80" w:lineRule="auto"/>
        <w:rPr>
          <w:b w:val="1"/>
        </w:rPr>
      </w:pPr>
      <w:bookmarkStart w:colFirst="0" w:colLast="0" w:name="_3lbc6d93iyds" w:id="2"/>
      <w:bookmarkEnd w:id="2"/>
      <w:r w:rsidDel="00000000" w:rsidR="00000000" w:rsidRPr="00000000">
        <w:rPr>
          <w:b w:val="1"/>
          <w:rtl w:val="0"/>
        </w:rPr>
        <w:t xml:space="preserve">1. Information About the Asset Manager</w:t>
      </w:r>
    </w:p>
    <w:p w:rsidR="00000000" w:rsidDel="00000000" w:rsidP="00000000" w:rsidRDefault="00000000" w:rsidRPr="00000000" w14:paraId="0000000F">
      <w:pPr>
        <w:pStyle w:val="Heading3"/>
        <w:keepNext w:val="0"/>
        <w:keepLines w:val="0"/>
        <w:spacing w:before="280" w:lineRule="auto"/>
        <w:rPr>
          <w:b w:val="1"/>
          <w:sz w:val="20"/>
          <w:szCs w:val="20"/>
        </w:rPr>
      </w:pPr>
      <w:bookmarkStart w:colFirst="0" w:colLast="0" w:name="_61hhg0rdcz6u" w:id="3"/>
      <w:bookmarkEnd w:id="3"/>
      <w:r w:rsidDel="00000000" w:rsidR="00000000" w:rsidRPr="00000000">
        <w:rPr>
          <w:b w:val="1"/>
          <w:color w:val="000000"/>
          <w:sz w:val="24"/>
          <w:szCs w:val="24"/>
          <w:rtl w:val="0"/>
        </w:rPr>
        <w:t xml:space="preserve">1.1 Name and Address</w:t>
      </w:r>
      <w:r w:rsidDel="00000000" w:rsidR="00000000" w:rsidRPr="00000000">
        <w:rPr>
          <w:sz w:val="20"/>
          <w:szCs w:val="20"/>
          <w:rtl w:val="0"/>
        </w:rPr>
        <w:br w:type="textWrapping"/>
      </w:r>
      <w:r w:rsidDel="00000000" w:rsidR="00000000" w:rsidRPr="00000000">
        <w:rPr>
          <w:rtl w:val="0"/>
        </w:rPr>
      </w:r>
    </w:p>
    <w:tbl>
      <w:tblPr>
        <w:tblStyle w:val="Table1"/>
        <w:tblW w:w="6274.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274"/>
        <w:tblGridChange w:id="0">
          <w:tblGrid>
            <w:gridCol w:w="6274"/>
          </w:tblGrid>
        </w:tblGridChange>
      </w:tblGrid>
      <w:tr>
        <w:trPr>
          <w:cantSplit w:val="0"/>
          <w:trHeight w:val="23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10">
            <w:pPr>
              <w:spacing w:line="240" w:lineRule="auto"/>
              <w:jc w:val="both"/>
              <w:rPr>
                <w:sz w:val="20"/>
                <w:szCs w:val="20"/>
              </w:rPr>
            </w:pPr>
            <w:r w:rsidDel="00000000" w:rsidR="00000000" w:rsidRPr="00000000">
              <w:rPr>
                <w:b w:val="1"/>
                <w:sz w:val="20"/>
                <w:szCs w:val="20"/>
                <w:rtl w:val="0"/>
              </w:rPr>
              <w:t xml:space="preserve">RICHTWERT CAPITAL AG</w:t>
            </w:r>
            <w:r w:rsidDel="00000000" w:rsidR="00000000" w:rsidRPr="00000000">
              <w:rPr>
                <w:rtl w:val="0"/>
              </w:rPr>
            </w:r>
          </w:p>
        </w:tc>
      </w:tr>
      <w:tr>
        <w:trPr>
          <w:cantSplit w:val="0"/>
          <w:trHeight w:val="23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11">
            <w:pPr>
              <w:spacing w:line="240" w:lineRule="auto"/>
              <w:jc w:val="both"/>
              <w:rPr>
                <w:sz w:val="20"/>
                <w:szCs w:val="20"/>
              </w:rPr>
            </w:pPr>
            <w:r w:rsidDel="00000000" w:rsidR="00000000" w:rsidRPr="00000000">
              <w:rPr>
                <w:sz w:val="20"/>
                <w:szCs w:val="20"/>
                <w:rtl w:val="0"/>
              </w:rPr>
              <w:t xml:space="preserve">Aufdorfstrasse 145</w:t>
            </w:r>
          </w:p>
        </w:tc>
      </w:tr>
      <w:tr>
        <w:trPr>
          <w:cantSplit w:val="0"/>
          <w:trHeight w:val="23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12">
            <w:pPr>
              <w:spacing w:line="240" w:lineRule="auto"/>
              <w:jc w:val="both"/>
              <w:rPr>
                <w:sz w:val="20"/>
                <w:szCs w:val="20"/>
              </w:rPr>
            </w:pPr>
            <w:r w:rsidDel="00000000" w:rsidR="00000000" w:rsidRPr="00000000">
              <w:rPr>
                <w:sz w:val="20"/>
                <w:szCs w:val="20"/>
                <w:rtl w:val="0"/>
              </w:rPr>
              <w:t xml:space="preserve">8708 Männedorf</w:t>
            </w:r>
          </w:p>
        </w:tc>
      </w:tr>
      <w:tr>
        <w:trPr>
          <w:cantSplit w:val="0"/>
          <w:trHeight w:val="23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13">
            <w:pPr>
              <w:spacing w:line="240" w:lineRule="auto"/>
              <w:jc w:val="both"/>
              <w:rPr>
                <w:sz w:val="20"/>
                <w:szCs w:val="20"/>
              </w:rPr>
            </w:pPr>
            <w:r w:rsidDel="00000000" w:rsidR="00000000" w:rsidRPr="00000000">
              <w:rPr>
                <w:sz w:val="20"/>
                <w:szCs w:val="20"/>
                <w:rtl w:val="0"/>
              </w:rPr>
              <w:t xml:space="preserve">Tel: 078 714 77 70</w:t>
            </w:r>
          </w:p>
        </w:tc>
      </w:tr>
      <w:tr>
        <w:trPr>
          <w:cantSplit w:val="0"/>
          <w:trHeight w:val="23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14">
            <w:pPr>
              <w:spacing w:line="240" w:lineRule="auto"/>
              <w:jc w:val="both"/>
              <w:rPr>
                <w:sz w:val="20"/>
                <w:szCs w:val="20"/>
              </w:rPr>
            </w:pPr>
            <w:r w:rsidDel="00000000" w:rsidR="00000000" w:rsidRPr="00000000">
              <w:rPr>
                <w:sz w:val="20"/>
                <w:szCs w:val="20"/>
                <w:rtl w:val="0"/>
              </w:rPr>
              <w:t xml:space="preserve">Email: info@richtwertcapital.com</w:t>
            </w:r>
          </w:p>
        </w:tc>
      </w:tr>
    </w:tbl>
    <w:p w:rsidR="00000000" w:rsidDel="00000000" w:rsidP="00000000" w:rsidRDefault="00000000" w:rsidRPr="00000000" w14:paraId="00000015">
      <w:pPr>
        <w:pStyle w:val="Heading3"/>
        <w:keepNext w:val="0"/>
        <w:keepLines w:val="0"/>
        <w:spacing w:before="280" w:lineRule="auto"/>
        <w:rPr>
          <w:b w:val="1"/>
          <w:color w:val="000000"/>
          <w:sz w:val="24"/>
          <w:szCs w:val="24"/>
        </w:rPr>
      </w:pPr>
      <w:bookmarkStart w:colFirst="0" w:colLast="0" w:name="_5yt6aua9qcdr" w:id="4"/>
      <w:bookmarkEnd w:id="4"/>
      <w:r w:rsidDel="00000000" w:rsidR="00000000" w:rsidRPr="00000000">
        <w:rPr>
          <w:b w:val="1"/>
          <w:color w:val="000000"/>
          <w:sz w:val="24"/>
          <w:szCs w:val="24"/>
          <w:rtl w:val="0"/>
        </w:rPr>
        <w:t xml:space="preserve">1.2 Scope of Activities</w:t>
      </w:r>
    </w:p>
    <w:p w:rsidR="00000000" w:rsidDel="00000000" w:rsidP="00000000" w:rsidRDefault="00000000" w:rsidRPr="00000000" w14:paraId="00000016">
      <w:pPr>
        <w:spacing w:after="240" w:before="240" w:lineRule="auto"/>
        <w:rPr>
          <w:sz w:val="20"/>
          <w:szCs w:val="20"/>
        </w:rPr>
      </w:pPr>
      <w:r w:rsidDel="00000000" w:rsidR="00000000" w:rsidRPr="00000000">
        <w:rPr>
          <w:sz w:val="20"/>
          <w:szCs w:val="20"/>
          <w:rtl w:val="0"/>
        </w:rPr>
        <w:t xml:space="preserve">The Asset Manager is based in Männedorf, Switzerland, and provides asset management services.</w:t>
      </w:r>
    </w:p>
    <w:p w:rsidR="00000000" w:rsidDel="00000000" w:rsidP="00000000" w:rsidRDefault="00000000" w:rsidRPr="00000000" w14:paraId="00000017">
      <w:pPr>
        <w:pStyle w:val="Heading3"/>
        <w:keepNext w:val="0"/>
        <w:keepLines w:val="0"/>
        <w:spacing w:before="280" w:lineRule="auto"/>
        <w:rPr>
          <w:b w:val="1"/>
          <w:color w:val="000000"/>
          <w:sz w:val="24"/>
          <w:szCs w:val="24"/>
        </w:rPr>
      </w:pPr>
      <w:bookmarkStart w:colFirst="0" w:colLast="0" w:name="_9cga81xon0xe" w:id="5"/>
      <w:bookmarkEnd w:id="5"/>
      <w:r w:rsidDel="00000000" w:rsidR="00000000" w:rsidRPr="00000000">
        <w:rPr>
          <w:b w:val="1"/>
          <w:color w:val="000000"/>
          <w:sz w:val="24"/>
          <w:szCs w:val="24"/>
          <w:rtl w:val="0"/>
        </w:rPr>
        <w:t xml:space="preserve">1.3 Supervisory Status and Competent Authority/Organization</w:t>
      </w:r>
    </w:p>
    <w:p w:rsidR="00000000" w:rsidDel="00000000" w:rsidP="00000000" w:rsidRDefault="00000000" w:rsidRPr="00000000" w14:paraId="00000018">
      <w:pPr>
        <w:spacing w:after="240" w:before="240" w:lineRule="auto"/>
        <w:rPr>
          <w:sz w:val="20"/>
          <w:szCs w:val="20"/>
        </w:rPr>
      </w:pPr>
      <w:r w:rsidDel="00000000" w:rsidR="00000000" w:rsidRPr="00000000">
        <w:rPr>
          <w:sz w:val="20"/>
          <w:szCs w:val="20"/>
          <w:rtl w:val="0"/>
        </w:rPr>
        <w:t xml:space="preserve">The Asset Manager is authorized pursuant to Article 5(1) in conjunction with Article 17(1) of the Financial Institutions Act by the Swiss Financial Market Supervisory Authority (FINMA), Laupenstrasse 27, 3003 Bern. Additionally, the Asset Manager is supervised by the supervisory organization FINcontrol Suisse AG, General-Guisan-Strasse 6, 6300 Zug.</w:t>
      </w:r>
    </w:p>
    <w:p w:rsidR="00000000" w:rsidDel="00000000" w:rsidP="00000000" w:rsidRDefault="00000000" w:rsidRPr="00000000" w14:paraId="00000019">
      <w:pPr>
        <w:pStyle w:val="Heading3"/>
        <w:keepNext w:val="0"/>
        <w:keepLines w:val="0"/>
        <w:spacing w:before="280" w:lineRule="auto"/>
        <w:rPr>
          <w:b w:val="1"/>
          <w:color w:val="000000"/>
          <w:sz w:val="24"/>
          <w:szCs w:val="24"/>
        </w:rPr>
      </w:pPr>
      <w:bookmarkStart w:colFirst="0" w:colLast="0" w:name="_3t6bm19vqyat" w:id="6"/>
      <w:bookmarkEnd w:id="6"/>
      <w:r w:rsidDel="00000000" w:rsidR="00000000" w:rsidRPr="00000000">
        <w:rPr>
          <w:b w:val="1"/>
          <w:color w:val="000000"/>
          <w:sz w:val="24"/>
          <w:szCs w:val="24"/>
          <w:rtl w:val="0"/>
        </w:rPr>
        <w:t xml:space="preserve">1.4 Professional Confidentiality</w:t>
      </w:r>
    </w:p>
    <w:p w:rsidR="00000000" w:rsidDel="00000000" w:rsidP="00000000" w:rsidRDefault="00000000" w:rsidRPr="00000000" w14:paraId="0000001A">
      <w:pPr>
        <w:spacing w:after="240" w:before="240" w:lineRule="auto"/>
        <w:rPr>
          <w:sz w:val="20"/>
          <w:szCs w:val="20"/>
        </w:rPr>
      </w:pPr>
      <w:r w:rsidDel="00000000" w:rsidR="00000000" w:rsidRPr="00000000">
        <w:rPr>
          <w:sz w:val="20"/>
          <w:szCs w:val="20"/>
          <w:rtl w:val="0"/>
        </w:rPr>
        <w:t xml:space="preserve">The Asset Manager is subject to professional confidentiality obligations under the Financial Institutions Act.</w:t>
      </w:r>
    </w:p>
    <w:p w:rsidR="00000000" w:rsidDel="00000000" w:rsidP="00000000" w:rsidRDefault="00000000" w:rsidRPr="00000000" w14:paraId="0000001B">
      <w:pPr>
        <w:pStyle w:val="Heading2"/>
        <w:keepNext w:val="0"/>
        <w:keepLines w:val="0"/>
        <w:spacing w:after="80" w:lineRule="auto"/>
        <w:rPr>
          <w:b w:val="1"/>
        </w:rPr>
      </w:pPr>
      <w:bookmarkStart w:colFirst="0" w:colLast="0" w:name="_i64g8t68gkf8" w:id="7"/>
      <w:bookmarkEnd w:id="7"/>
      <w:r w:rsidDel="00000000" w:rsidR="00000000" w:rsidRPr="00000000">
        <w:rPr>
          <w:b w:val="1"/>
          <w:rtl w:val="0"/>
        </w:rPr>
        <w:t xml:space="preserve">2. Dormant Assets</w:t>
      </w:r>
    </w:p>
    <w:p w:rsidR="00000000" w:rsidDel="00000000" w:rsidP="00000000" w:rsidRDefault="00000000" w:rsidRPr="00000000" w14:paraId="0000001C">
      <w:pPr>
        <w:spacing w:after="240" w:before="240" w:lineRule="auto"/>
        <w:rPr>
          <w:sz w:val="20"/>
          <w:szCs w:val="20"/>
        </w:rPr>
      </w:pPr>
      <w:r w:rsidDel="00000000" w:rsidR="00000000" w:rsidRPr="00000000">
        <w:rPr>
          <w:sz w:val="20"/>
          <w:szCs w:val="20"/>
          <w:rtl w:val="0"/>
        </w:rPr>
        <w:t xml:space="preserve">It may happen that contact with clients is lost, resulting in assets becoming dormant. Such assets risk being permanently forgotten by clients or their heirs. To prevent loss of contact or dormant assets, we recommend the following measures:</w:t>
      </w:r>
    </w:p>
    <w:p w:rsidR="00000000" w:rsidDel="00000000" w:rsidP="00000000" w:rsidRDefault="00000000" w:rsidRPr="00000000" w14:paraId="0000001D">
      <w:pPr>
        <w:numPr>
          <w:ilvl w:val="0"/>
          <w:numId w:val="6"/>
        </w:numPr>
        <w:spacing w:after="0" w:afterAutospacing="0" w:before="240" w:lineRule="auto"/>
        <w:ind w:left="720" w:hanging="360"/>
        <w:rPr>
          <w:sz w:val="20"/>
          <w:szCs w:val="20"/>
        </w:rPr>
      </w:pPr>
      <w:r w:rsidDel="00000000" w:rsidR="00000000" w:rsidRPr="00000000">
        <w:rPr>
          <w:b w:val="1"/>
          <w:sz w:val="20"/>
          <w:szCs w:val="20"/>
          <w:rtl w:val="0"/>
        </w:rPr>
        <w:t xml:space="preserve">Address and Name Changes</w:t>
      </w:r>
      <w:r w:rsidDel="00000000" w:rsidR="00000000" w:rsidRPr="00000000">
        <w:rPr>
          <w:sz w:val="20"/>
          <w:szCs w:val="20"/>
          <w:rtl w:val="0"/>
        </w:rPr>
        <w:t xml:space="preserve">: Please inform us immediately of any changes to your place of residence, address, or name.</w:t>
      </w:r>
    </w:p>
    <w:p w:rsidR="00000000" w:rsidDel="00000000" w:rsidP="00000000" w:rsidRDefault="00000000" w:rsidRPr="00000000" w14:paraId="0000001E">
      <w:pPr>
        <w:numPr>
          <w:ilvl w:val="0"/>
          <w:numId w:val="6"/>
        </w:numPr>
        <w:spacing w:after="0" w:afterAutospacing="0" w:before="0" w:beforeAutospacing="0" w:lineRule="auto"/>
        <w:ind w:left="720" w:hanging="360"/>
        <w:rPr>
          <w:sz w:val="20"/>
          <w:szCs w:val="20"/>
        </w:rPr>
      </w:pPr>
      <w:r w:rsidDel="00000000" w:rsidR="00000000" w:rsidRPr="00000000">
        <w:rPr>
          <w:b w:val="1"/>
          <w:sz w:val="20"/>
          <w:szCs w:val="20"/>
          <w:rtl w:val="0"/>
        </w:rPr>
        <w:t xml:space="preserve">Special Instructions</w:t>
      </w:r>
      <w:r w:rsidDel="00000000" w:rsidR="00000000" w:rsidRPr="00000000">
        <w:rPr>
          <w:sz w:val="20"/>
          <w:szCs w:val="20"/>
          <w:rtl w:val="0"/>
        </w:rPr>
        <w:t xml:space="preserve">: Please notify us of extended absences, any redirection of correspondence to a third-party address, and your availability in urgent cases during such periods.</w:t>
      </w:r>
    </w:p>
    <w:p w:rsidR="00000000" w:rsidDel="00000000" w:rsidP="00000000" w:rsidRDefault="00000000" w:rsidRPr="00000000" w14:paraId="0000001F">
      <w:pPr>
        <w:numPr>
          <w:ilvl w:val="0"/>
          <w:numId w:val="6"/>
        </w:numPr>
        <w:spacing w:after="0" w:afterAutospacing="0" w:before="0" w:beforeAutospacing="0" w:lineRule="auto"/>
        <w:ind w:left="720" w:hanging="360"/>
        <w:rPr>
          <w:sz w:val="20"/>
          <w:szCs w:val="20"/>
        </w:rPr>
      </w:pPr>
      <w:r w:rsidDel="00000000" w:rsidR="00000000" w:rsidRPr="00000000">
        <w:rPr>
          <w:b w:val="1"/>
          <w:sz w:val="20"/>
          <w:szCs w:val="20"/>
          <w:rtl w:val="0"/>
        </w:rPr>
        <w:t xml:space="preserve">Authorization of Representatives</w:t>
      </w:r>
      <w:r w:rsidDel="00000000" w:rsidR="00000000" w:rsidRPr="00000000">
        <w:rPr>
          <w:sz w:val="20"/>
          <w:szCs w:val="20"/>
          <w:rtl w:val="0"/>
        </w:rPr>
        <w:t xml:space="preserve">: It may be advisable to designate an authorized person whom the Asset Manager can contact in case of loss of contact.</w:t>
      </w:r>
    </w:p>
    <w:p w:rsidR="00000000" w:rsidDel="00000000" w:rsidP="00000000" w:rsidRDefault="00000000" w:rsidRPr="00000000" w14:paraId="00000020">
      <w:pPr>
        <w:numPr>
          <w:ilvl w:val="0"/>
          <w:numId w:val="6"/>
        </w:numPr>
        <w:spacing w:after="240" w:before="0" w:beforeAutospacing="0" w:lineRule="auto"/>
        <w:ind w:left="720" w:hanging="360"/>
        <w:rPr>
          <w:sz w:val="20"/>
          <w:szCs w:val="20"/>
        </w:rPr>
      </w:pPr>
      <w:r w:rsidDel="00000000" w:rsidR="00000000" w:rsidRPr="00000000">
        <w:rPr>
          <w:b w:val="1"/>
          <w:sz w:val="20"/>
          <w:szCs w:val="20"/>
          <w:rtl w:val="0"/>
        </w:rPr>
        <w:t xml:space="preserve">Informing Trusted Persons and Last Will</w:t>
      </w:r>
      <w:r w:rsidDel="00000000" w:rsidR="00000000" w:rsidRPr="00000000">
        <w:rPr>
          <w:sz w:val="20"/>
          <w:szCs w:val="20"/>
          <w:rtl w:val="0"/>
        </w:rPr>
        <w:t xml:space="preserve">: To avoid loss of contact or dormant assets, you may inform a trusted person about your relationship with the Asset Manager. However, the Asset Manager may only provide information to such a person if they have been granted written authorization. Additionally, the relevant assets may be mentioned in a last will or testament.</w:t>
      </w:r>
    </w:p>
    <w:p w:rsidR="00000000" w:rsidDel="00000000" w:rsidP="00000000" w:rsidRDefault="00000000" w:rsidRPr="00000000" w14:paraId="00000021">
      <w:pPr>
        <w:spacing w:after="240" w:before="240" w:lineRule="auto"/>
        <w:rPr>
          <w:sz w:val="20"/>
          <w:szCs w:val="20"/>
        </w:rPr>
      </w:pPr>
      <w:r w:rsidDel="00000000" w:rsidR="00000000" w:rsidRPr="00000000">
        <w:rPr>
          <w:sz w:val="20"/>
          <w:szCs w:val="20"/>
          <w:rtl w:val="0"/>
        </w:rPr>
        <w:t xml:space="preserve">The Asset Manager is available to answer any questions. Further information can be found in the brochure “Dormant Assets” published by the Swiss Bankers Association, available online at https://www.swissbanking.ch/en/downloads.</w:t>
      </w:r>
    </w:p>
    <w:p w:rsidR="00000000" w:rsidDel="00000000" w:rsidP="00000000" w:rsidRDefault="00000000" w:rsidRPr="00000000" w14:paraId="00000022">
      <w:pPr>
        <w:pStyle w:val="Heading2"/>
        <w:keepNext w:val="0"/>
        <w:keepLines w:val="0"/>
        <w:spacing w:after="80" w:lineRule="auto"/>
        <w:rPr>
          <w:b w:val="1"/>
        </w:rPr>
      </w:pPr>
      <w:bookmarkStart w:colFirst="0" w:colLast="0" w:name="_ycwf3onp544h" w:id="8"/>
      <w:bookmarkEnd w:id="8"/>
      <w:r w:rsidDel="00000000" w:rsidR="00000000" w:rsidRPr="00000000">
        <w:rPr>
          <w:b w:val="1"/>
          <w:rtl w:val="0"/>
        </w:rPr>
        <w:t xml:space="preserve">3. Information on Financial Services Offered by the Asset Manager</w:t>
      </w:r>
    </w:p>
    <w:p w:rsidR="00000000" w:rsidDel="00000000" w:rsidP="00000000" w:rsidRDefault="00000000" w:rsidRPr="00000000" w14:paraId="00000023">
      <w:pPr>
        <w:pStyle w:val="Heading3"/>
        <w:keepNext w:val="0"/>
        <w:keepLines w:val="0"/>
        <w:spacing w:before="280" w:lineRule="auto"/>
        <w:rPr>
          <w:b w:val="1"/>
          <w:color w:val="000000"/>
          <w:sz w:val="24"/>
          <w:szCs w:val="24"/>
        </w:rPr>
      </w:pPr>
      <w:bookmarkStart w:colFirst="0" w:colLast="0" w:name="_z07akib20p75" w:id="9"/>
      <w:bookmarkEnd w:id="9"/>
      <w:r w:rsidDel="00000000" w:rsidR="00000000" w:rsidRPr="00000000">
        <w:rPr>
          <w:b w:val="1"/>
          <w:color w:val="000000"/>
          <w:sz w:val="24"/>
          <w:szCs w:val="24"/>
          <w:rtl w:val="0"/>
        </w:rPr>
        <w:t xml:space="preserve">3.1 Asset Management</w:t>
      </w:r>
    </w:p>
    <w:p w:rsidR="00000000" w:rsidDel="00000000" w:rsidP="00000000" w:rsidRDefault="00000000" w:rsidRPr="00000000" w14:paraId="00000024">
      <w:pPr>
        <w:pStyle w:val="Heading4"/>
        <w:keepNext w:val="0"/>
        <w:keepLines w:val="0"/>
        <w:spacing w:after="40" w:before="240" w:lineRule="auto"/>
        <w:rPr>
          <w:b w:val="1"/>
          <w:color w:val="000000"/>
          <w:sz w:val="20"/>
          <w:szCs w:val="20"/>
        </w:rPr>
      </w:pPr>
      <w:bookmarkStart w:colFirst="0" w:colLast="0" w:name="_mcxlo1p1u18z" w:id="10"/>
      <w:bookmarkEnd w:id="10"/>
      <w:r w:rsidDel="00000000" w:rsidR="00000000" w:rsidRPr="00000000">
        <w:rPr>
          <w:b w:val="1"/>
          <w:color w:val="000000"/>
          <w:sz w:val="20"/>
          <w:szCs w:val="20"/>
          <w:rtl w:val="0"/>
        </w:rPr>
        <w:t xml:space="preserve">3.1.1 Nature, Characteristics, and Functioning of the Financial Service</w:t>
      </w:r>
    </w:p>
    <w:p w:rsidR="00000000" w:rsidDel="00000000" w:rsidP="00000000" w:rsidRDefault="00000000" w:rsidRPr="00000000" w14:paraId="00000025">
      <w:pPr>
        <w:spacing w:after="240" w:before="240" w:lineRule="auto"/>
        <w:rPr>
          <w:sz w:val="20"/>
          <w:szCs w:val="20"/>
        </w:rPr>
      </w:pPr>
      <w:r w:rsidDel="00000000" w:rsidR="00000000" w:rsidRPr="00000000">
        <w:rPr>
          <w:sz w:val="20"/>
          <w:szCs w:val="20"/>
          <w:rtl w:val="0"/>
        </w:rPr>
        <w:t xml:space="preserve">In asset management, the Asset Manager manages assets on behalf of, for the account of, and at the risk of the client, which are deposited with a custodian bank. The Asset Manager executes transactions at its own discretion and without consulting the client. In doing so, the Asset Manager ensures that the transactions align with the client’s financial circumstances, investment objectives, and the agreed-upon investment strategy, and that the portfolio structure is suitable for the client.</w:t>
      </w:r>
    </w:p>
    <w:p w:rsidR="00000000" w:rsidDel="00000000" w:rsidP="00000000" w:rsidRDefault="00000000" w:rsidRPr="00000000" w14:paraId="00000026">
      <w:pPr>
        <w:pStyle w:val="Heading4"/>
        <w:keepNext w:val="0"/>
        <w:keepLines w:val="0"/>
        <w:spacing w:after="40" w:before="240" w:lineRule="auto"/>
        <w:rPr>
          <w:b w:val="1"/>
          <w:color w:val="000000"/>
          <w:sz w:val="20"/>
          <w:szCs w:val="20"/>
        </w:rPr>
      </w:pPr>
      <w:bookmarkStart w:colFirst="0" w:colLast="0" w:name="_ihcsc38gmh6u" w:id="11"/>
      <w:bookmarkEnd w:id="11"/>
      <w:r w:rsidDel="00000000" w:rsidR="00000000" w:rsidRPr="00000000">
        <w:rPr>
          <w:b w:val="1"/>
          <w:color w:val="000000"/>
          <w:sz w:val="20"/>
          <w:szCs w:val="20"/>
          <w:rtl w:val="0"/>
        </w:rPr>
        <w:t xml:space="preserve">3.1.2 Rights and Obligations</w:t>
      </w:r>
    </w:p>
    <w:p w:rsidR="00000000" w:rsidDel="00000000" w:rsidP="00000000" w:rsidRDefault="00000000" w:rsidRPr="00000000" w14:paraId="00000027">
      <w:pPr>
        <w:spacing w:after="240" w:before="240" w:lineRule="auto"/>
        <w:rPr>
          <w:sz w:val="20"/>
          <w:szCs w:val="20"/>
        </w:rPr>
      </w:pPr>
      <w:r w:rsidDel="00000000" w:rsidR="00000000" w:rsidRPr="00000000">
        <w:rPr>
          <w:sz w:val="20"/>
          <w:szCs w:val="20"/>
          <w:rtl w:val="0"/>
        </w:rPr>
        <w:t xml:space="preserve">In asset management, the client has the right to have their portfolio assets managed by the Asset Manager. The Asset Manager selects the investments to be included in the portfolio within the scope of the considered market offering with due diligence. The Asset Manager ensures an appropriate risk distribution, to the extent permitted by the investment strategy. The Asset Manager regularly monitors the managed assets and ensures that the investments align with the investment strategy agreed upon in the client’s investment profile and are suitable for the client.</w:t>
      </w:r>
    </w:p>
    <w:p w:rsidR="00000000" w:rsidDel="00000000" w:rsidP="00000000" w:rsidRDefault="00000000" w:rsidRPr="00000000" w14:paraId="00000028">
      <w:pPr>
        <w:spacing w:after="240" w:before="240" w:lineRule="auto"/>
        <w:rPr>
          <w:sz w:val="20"/>
          <w:szCs w:val="20"/>
        </w:rPr>
      </w:pPr>
      <w:r w:rsidDel="00000000" w:rsidR="00000000" w:rsidRPr="00000000">
        <w:rPr>
          <w:sz w:val="20"/>
          <w:szCs w:val="20"/>
          <w:rtl w:val="0"/>
        </w:rPr>
        <w:t xml:space="preserve">The Asset Manager regularly informs the client about the agreed-upon and provided asset management services.</w:t>
      </w:r>
    </w:p>
    <w:p w:rsidR="00000000" w:rsidDel="00000000" w:rsidP="00000000" w:rsidRDefault="00000000" w:rsidRPr="00000000" w14:paraId="00000029">
      <w:pPr>
        <w:pStyle w:val="Heading4"/>
        <w:keepNext w:val="0"/>
        <w:keepLines w:val="0"/>
        <w:spacing w:after="40" w:before="240" w:lineRule="auto"/>
        <w:rPr>
          <w:b w:val="1"/>
          <w:color w:val="000000"/>
          <w:sz w:val="20"/>
          <w:szCs w:val="20"/>
        </w:rPr>
      </w:pPr>
      <w:bookmarkStart w:colFirst="0" w:colLast="0" w:name="_dtmc6xfvbmau" w:id="12"/>
      <w:bookmarkEnd w:id="12"/>
      <w:r w:rsidDel="00000000" w:rsidR="00000000" w:rsidRPr="00000000">
        <w:rPr>
          <w:b w:val="1"/>
          <w:color w:val="000000"/>
          <w:sz w:val="20"/>
          <w:szCs w:val="20"/>
          <w:rtl w:val="0"/>
        </w:rPr>
        <w:t xml:space="preserve">3.1.3 Risks</w:t>
      </w:r>
    </w:p>
    <w:p w:rsidR="00000000" w:rsidDel="00000000" w:rsidP="00000000" w:rsidRDefault="00000000" w:rsidRPr="00000000" w14:paraId="0000002A">
      <w:pPr>
        <w:spacing w:after="240" w:before="240" w:lineRule="auto"/>
        <w:rPr>
          <w:sz w:val="20"/>
          <w:szCs w:val="20"/>
        </w:rPr>
      </w:pPr>
      <w:r w:rsidDel="00000000" w:rsidR="00000000" w:rsidRPr="00000000">
        <w:rPr>
          <w:sz w:val="20"/>
          <w:szCs w:val="20"/>
          <w:rtl w:val="0"/>
        </w:rPr>
        <w:t xml:space="preserve">Asset management involves the following risks, which fall within the client’s risk sphere and are therefore borne by the client:</w:t>
      </w:r>
    </w:p>
    <w:p w:rsidR="00000000" w:rsidDel="00000000" w:rsidP="00000000" w:rsidRDefault="00000000" w:rsidRPr="00000000" w14:paraId="0000002B">
      <w:pPr>
        <w:numPr>
          <w:ilvl w:val="0"/>
          <w:numId w:val="5"/>
        </w:numPr>
        <w:spacing w:after="0" w:afterAutospacing="0" w:before="240" w:lineRule="auto"/>
        <w:ind w:left="720" w:hanging="360"/>
        <w:rPr>
          <w:sz w:val="20"/>
          <w:szCs w:val="20"/>
        </w:rPr>
      </w:pPr>
      <w:r w:rsidDel="00000000" w:rsidR="00000000" w:rsidRPr="00000000">
        <w:rPr>
          <w:b w:val="1"/>
          <w:sz w:val="20"/>
          <w:szCs w:val="20"/>
          <w:rtl w:val="0"/>
        </w:rPr>
        <w:t xml:space="preserve">Risk of the Chosen Investment Strategy</w:t>
      </w:r>
      <w:r w:rsidDel="00000000" w:rsidR="00000000" w:rsidRPr="00000000">
        <w:rPr>
          <w:sz w:val="20"/>
          <w:szCs w:val="20"/>
          <w:rtl w:val="0"/>
        </w:rPr>
        <w:t xml:space="preserve">: Different risks may arise from the investment strategy chosen and agreed upon by the client. The client bears these risks in full. A description of the risks and corresponding risk disclosure are provided prior to agreeing on the investment strategy.</w:t>
      </w:r>
    </w:p>
    <w:p w:rsidR="00000000" w:rsidDel="00000000" w:rsidP="00000000" w:rsidRDefault="00000000" w:rsidRPr="00000000" w14:paraId="0000002C">
      <w:pPr>
        <w:numPr>
          <w:ilvl w:val="0"/>
          <w:numId w:val="5"/>
        </w:numPr>
        <w:spacing w:after="0" w:afterAutospacing="0" w:before="0" w:beforeAutospacing="0" w:lineRule="auto"/>
        <w:ind w:left="720" w:hanging="360"/>
        <w:rPr>
          <w:sz w:val="20"/>
          <w:szCs w:val="20"/>
        </w:rPr>
      </w:pPr>
      <w:r w:rsidDel="00000000" w:rsidR="00000000" w:rsidRPr="00000000">
        <w:rPr>
          <w:b w:val="1"/>
          <w:sz w:val="20"/>
          <w:szCs w:val="20"/>
          <w:rtl w:val="0"/>
        </w:rPr>
        <w:t xml:space="preserve">Capital Preservation Risk or the Risk of Loss in Value of Financial Instruments in the Portfolio</w:t>
      </w:r>
      <w:r w:rsidDel="00000000" w:rsidR="00000000" w:rsidRPr="00000000">
        <w:rPr>
          <w:sz w:val="20"/>
          <w:szCs w:val="20"/>
          <w:rtl w:val="0"/>
        </w:rPr>
        <w:t xml:space="preserve">: This risk, which varies depending on the financial instrument, is fully borne by the client. For details on the risks of individual financial instruments, please refer to the brochure “Risks in Trading Financial Instruments” published by the Swiss Bankers Association.</w:t>
      </w:r>
    </w:p>
    <w:p w:rsidR="00000000" w:rsidDel="00000000" w:rsidP="00000000" w:rsidRDefault="00000000" w:rsidRPr="00000000" w14:paraId="0000002D">
      <w:pPr>
        <w:numPr>
          <w:ilvl w:val="0"/>
          <w:numId w:val="5"/>
        </w:numPr>
        <w:spacing w:after="0" w:afterAutospacing="0" w:before="0" w:beforeAutospacing="0" w:lineRule="auto"/>
        <w:ind w:left="720" w:hanging="360"/>
        <w:rPr>
          <w:sz w:val="20"/>
          <w:szCs w:val="20"/>
        </w:rPr>
      </w:pPr>
      <w:r w:rsidDel="00000000" w:rsidR="00000000" w:rsidRPr="00000000">
        <w:rPr>
          <w:b w:val="1"/>
          <w:sz w:val="20"/>
          <w:szCs w:val="20"/>
          <w:rtl w:val="0"/>
        </w:rPr>
        <w:t xml:space="preserve">Information Risk on the Part of the Asset Manager or the Risk that the Asset Manager Lacks Sufficient Information to Make Informed Investment Decisions</w:t>
      </w:r>
      <w:r w:rsidDel="00000000" w:rsidR="00000000" w:rsidRPr="00000000">
        <w:rPr>
          <w:sz w:val="20"/>
          <w:szCs w:val="20"/>
          <w:rtl w:val="0"/>
        </w:rPr>
        <w:t xml:space="preserve">: In asset management, the Asset Manager takes into account the client’s financial circumstances and investment objectives (suitability assessment). If the client provides insufficient or inaccurate information about their financial circumstances and/or investment objectives, there is a risk that the Asset Manager may not be able to make investment decisions suitable for the client.</w:t>
      </w:r>
    </w:p>
    <w:p w:rsidR="00000000" w:rsidDel="00000000" w:rsidP="00000000" w:rsidRDefault="00000000" w:rsidRPr="00000000" w14:paraId="0000002E">
      <w:pPr>
        <w:numPr>
          <w:ilvl w:val="0"/>
          <w:numId w:val="5"/>
        </w:numPr>
        <w:spacing w:after="240" w:before="0" w:beforeAutospacing="0" w:lineRule="auto"/>
        <w:ind w:left="720" w:hanging="360"/>
        <w:rPr>
          <w:sz w:val="20"/>
          <w:szCs w:val="20"/>
        </w:rPr>
      </w:pPr>
      <w:r w:rsidDel="00000000" w:rsidR="00000000" w:rsidRPr="00000000">
        <w:rPr>
          <w:b w:val="1"/>
          <w:sz w:val="20"/>
          <w:szCs w:val="20"/>
          <w:rtl w:val="0"/>
        </w:rPr>
        <w:t xml:space="preserve">Risk as a Qualified Investor in Collective Investment Schemes</w:t>
      </w:r>
      <w:r w:rsidDel="00000000" w:rsidR="00000000" w:rsidRPr="00000000">
        <w:rPr>
          <w:sz w:val="20"/>
          <w:szCs w:val="20"/>
          <w:rtl w:val="0"/>
        </w:rPr>
        <w:t xml:space="preserve">: Clients who engage in asset management under a long-term asset management agreement are considered qualified investors under the Collective Investment Schemes Act. Qualified investors have access to collective investment schemes exclusively available to them. This status allows for the inclusion of a broader range of financial instruments in portfolio construction. Collective investment schemes for qualified investors may be exempt from regulatory requirements. As a result, such financial instruments may not, or only partially, be subject to Swiss regulations. This may give rise to risks, particularly related to liquidity, investment strategy, or transparency. Detailed information on the risk profile of a specific collective investment scheme can be found in the constitutive documents of the financial instrument, as well as, where applicable, the key information document and prospectus.</w:t>
      </w:r>
    </w:p>
    <w:p w:rsidR="00000000" w:rsidDel="00000000" w:rsidP="00000000" w:rsidRDefault="00000000" w:rsidRPr="00000000" w14:paraId="0000002F">
      <w:pPr>
        <w:spacing w:after="240" w:before="240" w:lineRule="auto"/>
        <w:rPr>
          <w:sz w:val="20"/>
          <w:szCs w:val="20"/>
        </w:rPr>
      </w:pPr>
      <w:r w:rsidDel="00000000" w:rsidR="00000000" w:rsidRPr="00000000">
        <w:rPr>
          <w:sz w:val="20"/>
          <w:szCs w:val="20"/>
          <w:rtl w:val="0"/>
        </w:rPr>
        <w:t xml:space="preserve">Additionally, asset management involves risks that fall within the Asset Manager’s risk sphere, for which the Asset Manager is liable to the client. The Asset Manager has implemented appropriate measures to address these risks, in particular by adhering to the principles of good faith and equal treatment in processing client orders. Furthermore, the Asset Manager ensures the best possible execution of client orders.</w:t>
      </w:r>
    </w:p>
    <w:p w:rsidR="00000000" w:rsidDel="00000000" w:rsidP="00000000" w:rsidRDefault="00000000" w:rsidRPr="00000000" w14:paraId="00000030">
      <w:pPr>
        <w:pStyle w:val="Heading4"/>
        <w:keepNext w:val="0"/>
        <w:keepLines w:val="0"/>
        <w:spacing w:after="40" w:before="240" w:lineRule="auto"/>
        <w:rPr>
          <w:b w:val="1"/>
          <w:color w:val="000000"/>
          <w:sz w:val="20"/>
          <w:szCs w:val="20"/>
        </w:rPr>
      </w:pPr>
      <w:bookmarkStart w:colFirst="0" w:colLast="0" w:name="_8k6btn41nm1s" w:id="13"/>
      <w:bookmarkEnd w:id="13"/>
      <w:r w:rsidDel="00000000" w:rsidR="00000000" w:rsidRPr="00000000">
        <w:rPr>
          <w:b w:val="1"/>
          <w:color w:val="000000"/>
          <w:sz w:val="20"/>
          <w:szCs w:val="20"/>
          <w:rtl w:val="0"/>
        </w:rPr>
        <w:t xml:space="preserve">3.1.4 Considered Market Offering</w:t>
      </w:r>
    </w:p>
    <w:p w:rsidR="00000000" w:rsidDel="00000000" w:rsidP="00000000" w:rsidRDefault="00000000" w:rsidRPr="00000000" w14:paraId="00000031">
      <w:pPr>
        <w:spacing w:after="240" w:before="240" w:lineRule="auto"/>
        <w:rPr>
          <w:sz w:val="20"/>
          <w:szCs w:val="20"/>
        </w:rPr>
      </w:pPr>
      <w:r w:rsidDel="00000000" w:rsidR="00000000" w:rsidRPr="00000000">
        <w:rPr>
          <w:sz w:val="20"/>
          <w:szCs w:val="20"/>
          <w:rtl w:val="0"/>
        </w:rPr>
        <w:t xml:space="preserve">The market offering considered in the selection of financial instruments includes only third-party financial instruments. If the Asset Manager manages or advises its own fund, the considered market offering in the area of funds is limited to such funds. Within the scope of asset management, the following financial instruments are available to the client:</w:t>
      </w:r>
    </w:p>
    <w:p w:rsidR="00000000" w:rsidDel="00000000" w:rsidP="00000000" w:rsidRDefault="00000000" w:rsidRPr="00000000" w14:paraId="00000032">
      <w:pPr>
        <w:numPr>
          <w:ilvl w:val="0"/>
          <w:numId w:val="2"/>
        </w:numPr>
        <w:spacing w:after="0" w:afterAutospacing="0" w:before="240" w:lineRule="auto"/>
        <w:ind w:left="720" w:hanging="360"/>
        <w:rPr>
          <w:sz w:val="20"/>
          <w:szCs w:val="20"/>
        </w:rPr>
      </w:pPr>
      <w:r w:rsidDel="00000000" w:rsidR="00000000" w:rsidRPr="00000000">
        <w:rPr>
          <w:b w:val="1"/>
          <w:sz w:val="20"/>
          <w:szCs w:val="20"/>
          <w:rtl w:val="0"/>
        </w:rPr>
        <w:t xml:space="preserve">Traditional Financial Investments</w:t>
      </w:r>
      <w:r w:rsidDel="00000000" w:rsidR="00000000" w:rsidRPr="00000000">
        <w:rPr>
          <w:sz w:val="20"/>
          <w:szCs w:val="20"/>
          <w:rtl w:val="0"/>
        </w:rPr>
        <w:t xml:space="preserve">: Investments in equities, bonds, money market instruments, collective investment schemes, precious metals, as well as derivatives and structured products based on the aforementioned investments, financial indices, interest rates, exchange rates, loans, or currencies.</w:t>
      </w:r>
    </w:p>
    <w:p w:rsidR="00000000" w:rsidDel="00000000" w:rsidP="00000000" w:rsidRDefault="00000000" w:rsidRPr="00000000" w14:paraId="00000033">
      <w:pPr>
        <w:numPr>
          <w:ilvl w:val="0"/>
          <w:numId w:val="2"/>
        </w:numPr>
        <w:spacing w:after="240" w:before="0" w:beforeAutospacing="0" w:lineRule="auto"/>
        <w:ind w:left="720" w:hanging="360"/>
        <w:rPr>
          <w:sz w:val="20"/>
          <w:szCs w:val="20"/>
        </w:rPr>
      </w:pPr>
      <w:r w:rsidDel="00000000" w:rsidR="00000000" w:rsidRPr="00000000">
        <w:rPr>
          <w:b w:val="1"/>
          <w:sz w:val="20"/>
          <w:szCs w:val="20"/>
          <w:rtl w:val="0"/>
        </w:rPr>
        <w:t xml:space="preserve">Alternative Financial Investments</w:t>
      </w:r>
      <w:r w:rsidDel="00000000" w:rsidR="00000000" w:rsidRPr="00000000">
        <w:rPr>
          <w:sz w:val="20"/>
          <w:szCs w:val="20"/>
          <w:rtl w:val="0"/>
        </w:rPr>
        <w:t xml:space="preserve">: For example, AIF funds or similar.</w:t>
      </w:r>
    </w:p>
    <w:p w:rsidR="00000000" w:rsidDel="00000000" w:rsidP="00000000" w:rsidRDefault="00000000" w:rsidRPr="00000000" w14:paraId="00000034">
      <w:pPr>
        <w:pStyle w:val="Heading2"/>
        <w:keepNext w:val="0"/>
        <w:keepLines w:val="0"/>
        <w:spacing w:after="80" w:lineRule="auto"/>
        <w:rPr>
          <w:b w:val="1"/>
        </w:rPr>
      </w:pPr>
      <w:bookmarkStart w:colFirst="0" w:colLast="0" w:name="_f3tlf0y29xjm" w:id="14"/>
      <w:bookmarkEnd w:id="14"/>
      <w:r w:rsidDel="00000000" w:rsidR="00000000" w:rsidRPr="00000000">
        <w:rPr>
          <w:b w:val="1"/>
          <w:rtl w:val="0"/>
        </w:rPr>
        <w:t xml:space="preserve">4. Handling Conflicts of Interest</w:t>
      </w:r>
    </w:p>
    <w:p w:rsidR="00000000" w:rsidDel="00000000" w:rsidP="00000000" w:rsidRDefault="00000000" w:rsidRPr="00000000" w14:paraId="00000035">
      <w:pPr>
        <w:pStyle w:val="Heading3"/>
        <w:keepNext w:val="0"/>
        <w:keepLines w:val="0"/>
        <w:spacing w:before="280" w:lineRule="auto"/>
        <w:rPr>
          <w:b w:val="1"/>
          <w:color w:val="000000"/>
          <w:sz w:val="24"/>
          <w:szCs w:val="24"/>
        </w:rPr>
      </w:pPr>
      <w:bookmarkStart w:colFirst="0" w:colLast="0" w:name="_krsvlbqxgpie" w:id="15"/>
      <w:bookmarkEnd w:id="15"/>
      <w:r w:rsidDel="00000000" w:rsidR="00000000" w:rsidRPr="00000000">
        <w:rPr>
          <w:b w:val="1"/>
          <w:color w:val="000000"/>
          <w:sz w:val="24"/>
          <w:szCs w:val="24"/>
          <w:rtl w:val="0"/>
        </w:rPr>
        <w:t xml:space="preserve">4.1 General Information</w:t>
      </w:r>
    </w:p>
    <w:p w:rsidR="00000000" w:rsidDel="00000000" w:rsidP="00000000" w:rsidRDefault="00000000" w:rsidRPr="00000000" w14:paraId="00000036">
      <w:pPr>
        <w:spacing w:after="240" w:before="240" w:lineRule="auto"/>
        <w:rPr>
          <w:sz w:val="20"/>
          <w:szCs w:val="20"/>
        </w:rPr>
      </w:pPr>
      <w:r w:rsidDel="00000000" w:rsidR="00000000" w:rsidRPr="00000000">
        <w:rPr>
          <w:sz w:val="20"/>
          <w:szCs w:val="20"/>
          <w:rtl w:val="0"/>
        </w:rPr>
        <w:t xml:space="preserve">Conflicts of interest may arise if the Asset Manager:</w:t>
      </w:r>
    </w:p>
    <w:p w:rsidR="00000000" w:rsidDel="00000000" w:rsidP="00000000" w:rsidRDefault="00000000" w:rsidRPr="00000000" w14:paraId="00000037">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Can achieve a financial gain or avoid a financial loss at the expense of clients in violation of good faith;</w:t>
      </w:r>
    </w:p>
    <w:p w:rsidR="00000000" w:rsidDel="00000000" w:rsidP="00000000" w:rsidRDefault="00000000" w:rsidRPr="00000000" w14:paraId="00000038">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Has an interest in the outcome of a financial service provided to clients that conflicts with the clients’ interests;</w:t>
      </w:r>
    </w:p>
    <w:p w:rsidR="00000000" w:rsidDel="00000000" w:rsidP="00000000" w:rsidRDefault="00000000" w:rsidRPr="00000000" w14:paraId="00000039">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Has a financial or other incentive to prioritize the interests of certain clients over those of other clients in providing financial services; or</w:t>
      </w:r>
    </w:p>
    <w:p w:rsidR="00000000" w:rsidDel="00000000" w:rsidP="00000000" w:rsidRDefault="00000000" w:rsidRPr="00000000" w14:paraId="0000003A">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Accepts incentives in the form of financial or non-financial benefits or services from a third party in relation to a financial service provided to a client, in violation of good faith.</w:t>
      </w:r>
    </w:p>
    <w:p w:rsidR="00000000" w:rsidDel="00000000" w:rsidP="00000000" w:rsidRDefault="00000000" w:rsidRPr="00000000" w14:paraId="0000003B">
      <w:pPr>
        <w:spacing w:after="240" w:before="240" w:lineRule="auto"/>
        <w:rPr>
          <w:sz w:val="20"/>
          <w:szCs w:val="20"/>
        </w:rPr>
      </w:pPr>
      <w:r w:rsidDel="00000000" w:rsidR="00000000" w:rsidRPr="00000000">
        <w:rPr>
          <w:sz w:val="20"/>
          <w:szCs w:val="20"/>
          <w:rtl w:val="0"/>
        </w:rPr>
        <w:t xml:space="preserve">Conflicts of interest may arise in connection with asset management, particularly due to the interaction of:</w:t>
      </w:r>
    </w:p>
    <w:p w:rsidR="00000000" w:rsidDel="00000000" w:rsidP="00000000" w:rsidRDefault="00000000" w:rsidRPr="00000000" w14:paraId="0000003C">
      <w:pPr>
        <w:numPr>
          <w:ilvl w:val="0"/>
          <w:numId w:val="7"/>
        </w:numPr>
        <w:spacing w:after="0" w:afterAutospacing="0" w:before="240" w:lineRule="auto"/>
        <w:ind w:left="720" w:hanging="360"/>
        <w:rPr>
          <w:sz w:val="20"/>
          <w:szCs w:val="20"/>
        </w:rPr>
      </w:pPr>
      <w:r w:rsidDel="00000000" w:rsidR="00000000" w:rsidRPr="00000000">
        <w:rPr>
          <w:sz w:val="20"/>
          <w:szCs w:val="20"/>
          <w:rtl w:val="0"/>
        </w:rPr>
        <w:t xml:space="preserve">Multiple client orders;</w:t>
      </w:r>
    </w:p>
    <w:p w:rsidR="00000000" w:rsidDel="00000000" w:rsidP="00000000" w:rsidRDefault="00000000" w:rsidRPr="00000000" w14:paraId="0000003D">
      <w:pPr>
        <w:numPr>
          <w:ilvl w:val="0"/>
          <w:numId w:val="7"/>
        </w:numPr>
        <w:spacing w:after="240" w:before="0" w:beforeAutospacing="0" w:lineRule="auto"/>
        <w:ind w:left="720" w:hanging="360"/>
        <w:rPr>
          <w:sz w:val="20"/>
          <w:szCs w:val="20"/>
        </w:rPr>
      </w:pPr>
      <w:r w:rsidDel="00000000" w:rsidR="00000000" w:rsidRPr="00000000">
        <w:rPr>
          <w:sz w:val="20"/>
          <w:szCs w:val="20"/>
          <w:rtl w:val="0"/>
        </w:rPr>
        <w:t xml:space="preserve">Client orders with transactions of the Asset Manager’s employees.</w:t>
      </w:r>
    </w:p>
    <w:p w:rsidR="00000000" w:rsidDel="00000000" w:rsidP="00000000" w:rsidRDefault="00000000" w:rsidRPr="00000000" w14:paraId="0000003E">
      <w:pPr>
        <w:spacing w:after="240" w:before="240" w:lineRule="auto"/>
        <w:rPr>
          <w:sz w:val="20"/>
          <w:szCs w:val="20"/>
        </w:rPr>
      </w:pPr>
      <w:r w:rsidDel="00000000" w:rsidR="00000000" w:rsidRPr="00000000">
        <w:rPr>
          <w:sz w:val="20"/>
          <w:szCs w:val="20"/>
          <w:rtl w:val="0"/>
        </w:rPr>
        <w:t xml:space="preserve">To identify and prevent conflicts of interest from adversely affecting clients, the Asset Manager has issued internal directives and implemented organizational measures:</w:t>
      </w:r>
    </w:p>
    <w:p w:rsidR="00000000" w:rsidDel="00000000" w:rsidP="00000000" w:rsidRDefault="00000000" w:rsidRPr="00000000" w14:paraId="0000003F">
      <w:pPr>
        <w:numPr>
          <w:ilvl w:val="0"/>
          <w:numId w:val="4"/>
        </w:numPr>
        <w:spacing w:after="0" w:afterAutospacing="0" w:before="240" w:lineRule="auto"/>
        <w:ind w:left="720" w:hanging="360"/>
        <w:rPr>
          <w:sz w:val="20"/>
          <w:szCs w:val="20"/>
        </w:rPr>
      </w:pPr>
      <w:r w:rsidDel="00000000" w:rsidR="00000000" w:rsidRPr="00000000">
        <w:rPr>
          <w:sz w:val="20"/>
          <w:szCs w:val="20"/>
          <w:rtl w:val="0"/>
        </w:rPr>
        <w:t xml:space="preserve">The Asset Manager has established a compliance function that continuously monitors the investment activities and employee transactions of the Asset Manager, as well as compliance with market conduct rules. Effective monitoring and sanctioning measures allow the Asset Manager to avoid conflicts of interest.</w:t>
      </w:r>
    </w:p>
    <w:p w:rsidR="00000000" w:rsidDel="00000000" w:rsidP="00000000" w:rsidRDefault="00000000" w:rsidRPr="00000000" w14:paraId="00000040">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The Asset Manager adheres to the principle of priority in order execution.</w:t>
      </w:r>
    </w:p>
    <w:p w:rsidR="00000000" w:rsidDel="00000000" w:rsidP="00000000" w:rsidRDefault="00000000" w:rsidRPr="00000000" w14:paraId="00000041">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The Asset Manager requires its employees to disclose mandates that may lead to conflicts of interest.</w:t>
      </w:r>
    </w:p>
    <w:p w:rsidR="00000000" w:rsidDel="00000000" w:rsidP="00000000" w:rsidRDefault="00000000" w:rsidRPr="00000000" w14:paraId="00000042">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The Asset Manager structures its compensation policy to avoid incentives for prohibited behavior.</w:t>
      </w:r>
    </w:p>
    <w:p w:rsidR="00000000" w:rsidDel="00000000" w:rsidP="00000000" w:rsidRDefault="00000000" w:rsidRPr="00000000" w14:paraId="00000043">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The Asset Manager regularly trains its employees and ensures they have the necessary expertise.</w:t>
      </w:r>
    </w:p>
    <w:p w:rsidR="00000000" w:rsidDel="00000000" w:rsidP="00000000" w:rsidRDefault="00000000" w:rsidRPr="00000000" w14:paraId="00000044">
      <w:pPr>
        <w:numPr>
          <w:ilvl w:val="0"/>
          <w:numId w:val="4"/>
        </w:numPr>
        <w:spacing w:after="240" w:before="0" w:beforeAutospacing="0" w:lineRule="auto"/>
        <w:ind w:left="720" w:hanging="360"/>
        <w:rPr>
          <w:sz w:val="20"/>
          <w:szCs w:val="20"/>
        </w:rPr>
      </w:pPr>
      <w:r w:rsidDel="00000000" w:rsidR="00000000" w:rsidRPr="00000000">
        <w:rPr>
          <w:sz w:val="20"/>
          <w:szCs w:val="20"/>
          <w:rtl w:val="0"/>
        </w:rPr>
        <w:t xml:space="preserve">The Asset Manager involves the compliance function in cases potentially involving conflicts of interest and has such cases approved by it.</w:t>
      </w:r>
    </w:p>
    <w:p w:rsidR="00000000" w:rsidDel="00000000" w:rsidP="00000000" w:rsidRDefault="00000000" w:rsidRPr="00000000" w14:paraId="00000045">
      <w:pPr>
        <w:pStyle w:val="Heading3"/>
        <w:keepNext w:val="0"/>
        <w:keepLines w:val="0"/>
        <w:spacing w:before="280" w:lineRule="auto"/>
        <w:rPr>
          <w:b w:val="1"/>
          <w:color w:val="000000"/>
          <w:sz w:val="24"/>
          <w:szCs w:val="24"/>
        </w:rPr>
      </w:pPr>
      <w:bookmarkStart w:colFirst="0" w:colLast="0" w:name="_dmtt5wrji6io" w:id="16"/>
      <w:bookmarkEnd w:id="16"/>
      <w:r w:rsidDel="00000000" w:rsidR="00000000" w:rsidRPr="00000000">
        <w:rPr>
          <w:b w:val="1"/>
          <w:color w:val="000000"/>
          <w:sz w:val="24"/>
          <w:szCs w:val="24"/>
          <w:rtl w:val="0"/>
        </w:rPr>
        <w:t xml:space="preserve">4.2 Additional Information</w:t>
      </w:r>
    </w:p>
    <w:p w:rsidR="00000000" w:rsidDel="00000000" w:rsidP="00000000" w:rsidRDefault="00000000" w:rsidRPr="00000000" w14:paraId="00000046">
      <w:pPr>
        <w:spacing w:after="240" w:before="240" w:lineRule="auto"/>
        <w:rPr>
          <w:sz w:val="20"/>
          <w:szCs w:val="20"/>
        </w:rPr>
      </w:pPr>
      <w:r w:rsidDel="00000000" w:rsidR="00000000" w:rsidRPr="00000000">
        <w:rPr>
          <w:sz w:val="20"/>
          <w:szCs w:val="20"/>
          <w:rtl w:val="0"/>
        </w:rPr>
        <w:t xml:space="preserve">Additional information regarding potential conflicts of interest related to the services provided by the Asset Manager and the measures taken to protect clients is available upon request.</w:t>
      </w:r>
    </w:p>
    <w:p w:rsidR="00000000" w:rsidDel="00000000" w:rsidP="00000000" w:rsidRDefault="00000000" w:rsidRPr="00000000" w14:paraId="00000047">
      <w:pPr>
        <w:pStyle w:val="Heading2"/>
        <w:keepNext w:val="0"/>
        <w:keepLines w:val="0"/>
        <w:spacing w:after="80" w:lineRule="auto"/>
        <w:rPr>
          <w:b w:val="1"/>
        </w:rPr>
      </w:pPr>
      <w:bookmarkStart w:colFirst="0" w:colLast="0" w:name="_iuqjswo26max" w:id="17"/>
      <w:bookmarkEnd w:id="17"/>
      <w:r w:rsidDel="00000000" w:rsidR="00000000" w:rsidRPr="00000000">
        <w:rPr>
          <w:b w:val="1"/>
          <w:rtl w:val="0"/>
        </w:rPr>
        <w:t xml:space="preserve">5. Ombudsman</w:t>
      </w:r>
    </w:p>
    <w:p w:rsidR="00000000" w:rsidDel="00000000" w:rsidP="00000000" w:rsidRDefault="00000000" w:rsidRPr="00000000" w14:paraId="00000048">
      <w:pPr>
        <w:spacing w:after="240" w:before="240" w:lineRule="auto"/>
        <w:rPr>
          <w:i w:val="1"/>
          <w:color w:val="0070c0"/>
          <w:sz w:val="20"/>
          <w:szCs w:val="20"/>
        </w:rPr>
      </w:pPr>
      <w:r w:rsidDel="00000000" w:rsidR="00000000" w:rsidRPr="00000000">
        <w:rPr>
          <w:sz w:val="20"/>
          <w:szCs w:val="20"/>
          <w:rtl w:val="0"/>
        </w:rPr>
        <w:t xml:space="preserve">Your satisfaction is our priority. However, should we reject a legal claim on your part, you may initiate mediation proceedings through the ombudsman. In such cases, please contact:</w:t>
      </w:r>
      <w:r w:rsidDel="00000000" w:rsidR="00000000" w:rsidRPr="00000000">
        <w:rPr>
          <w:rtl w:val="0"/>
        </w:rPr>
      </w:r>
    </w:p>
    <w:tbl>
      <w:tblPr>
        <w:tblStyle w:val="Table2"/>
        <w:tblW w:w="4111.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111"/>
        <w:tblGridChange w:id="0">
          <w:tblGrid>
            <w:gridCol w:w="4111"/>
          </w:tblGrid>
        </w:tblGridChange>
      </w:tblGrid>
      <w:tr>
        <w:trPr>
          <w:cantSplit w:val="0"/>
          <w:trHeight w:val="45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49">
            <w:pPr>
              <w:spacing w:line="240" w:lineRule="auto"/>
              <w:jc w:val="both"/>
              <w:rPr>
                <w:b w:val="1"/>
                <w:sz w:val="20"/>
                <w:szCs w:val="20"/>
              </w:rPr>
            </w:pPr>
            <w:r w:rsidDel="00000000" w:rsidR="00000000" w:rsidRPr="00000000">
              <w:rPr>
                <w:b w:val="1"/>
                <w:sz w:val="20"/>
                <w:szCs w:val="20"/>
                <w:rtl w:val="0"/>
              </w:rPr>
              <w:t xml:space="preserve">Financial Services Ombudsman</w:t>
            </w:r>
          </w:p>
          <w:p w:rsidR="00000000" w:rsidDel="00000000" w:rsidP="00000000" w:rsidRDefault="00000000" w:rsidRPr="00000000" w14:paraId="0000004A">
            <w:pPr>
              <w:spacing w:line="240" w:lineRule="auto"/>
              <w:jc w:val="both"/>
              <w:rPr>
                <w:sz w:val="20"/>
                <w:szCs w:val="20"/>
              </w:rPr>
            </w:pPr>
            <w:r w:rsidDel="00000000" w:rsidR="00000000" w:rsidRPr="00000000">
              <w:rPr>
                <w:b w:val="1"/>
                <w:sz w:val="20"/>
                <w:szCs w:val="20"/>
                <w:rtl w:val="0"/>
              </w:rPr>
              <w:t xml:space="preserve">FINSOM</w:t>
            </w:r>
            <w:r w:rsidDel="00000000" w:rsidR="00000000" w:rsidRPr="00000000">
              <w:rPr>
                <w:rtl w:val="0"/>
              </w:rPr>
            </w:r>
          </w:p>
        </w:tc>
      </w:tr>
      <w:tr>
        <w:trPr>
          <w:cantSplit w:val="0"/>
          <w:trHeight w:val="23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4B">
            <w:pPr>
              <w:spacing w:line="240" w:lineRule="auto"/>
              <w:jc w:val="both"/>
              <w:rPr>
                <w:sz w:val="20"/>
                <w:szCs w:val="20"/>
              </w:rPr>
            </w:pPr>
            <w:r w:rsidDel="00000000" w:rsidR="00000000" w:rsidRPr="00000000">
              <w:rPr>
                <w:sz w:val="20"/>
                <w:szCs w:val="20"/>
                <w:rtl w:val="0"/>
              </w:rPr>
              <w:t xml:space="preserve">Avenue de la gare 45</w:t>
            </w:r>
          </w:p>
        </w:tc>
      </w:tr>
      <w:tr>
        <w:trPr>
          <w:cantSplit w:val="0"/>
          <w:trHeight w:val="23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4C">
            <w:pPr>
              <w:spacing w:line="240" w:lineRule="auto"/>
              <w:jc w:val="both"/>
              <w:rPr>
                <w:sz w:val="20"/>
                <w:szCs w:val="20"/>
              </w:rPr>
            </w:pPr>
            <w:r w:rsidDel="00000000" w:rsidR="00000000" w:rsidRPr="00000000">
              <w:rPr>
                <w:sz w:val="20"/>
                <w:szCs w:val="20"/>
                <w:rtl w:val="0"/>
              </w:rPr>
              <w:t xml:space="preserve">1920 Martigny</w:t>
            </w:r>
          </w:p>
        </w:tc>
      </w:tr>
      <w:tr>
        <w:trPr>
          <w:cantSplit w:val="0"/>
          <w:trHeight w:val="1364.94140625"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4D">
            <w:pPr>
              <w:spacing w:line="240" w:lineRule="auto"/>
              <w:jc w:val="both"/>
              <w:rPr>
                <w:sz w:val="20"/>
                <w:szCs w:val="20"/>
              </w:rPr>
            </w:pPr>
            <w:r w:rsidDel="00000000" w:rsidR="00000000" w:rsidRPr="00000000">
              <w:rPr>
                <w:sz w:val="20"/>
                <w:szCs w:val="20"/>
                <w:rtl w:val="0"/>
              </w:rPr>
              <w:t xml:space="preserve">+41 (0)27 564 04 11</w:t>
            </w:r>
          </w:p>
          <w:p w:rsidR="00000000" w:rsidDel="00000000" w:rsidP="00000000" w:rsidRDefault="00000000" w:rsidRPr="00000000" w14:paraId="0000004E">
            <w:pPr>
              <w:spacing w:line="240" w:lineRule="auto"/>
              <w:jc w:val="both"/>
              <w:rPr>
                <w:sz w:val="20"/>
                <w:szCs w:val="20"/>
              </w:rPr>
            </w:pPr>
            <w:r w:rsidDel="00000000" w:rsidR="00000000" w:rsidRPr="00000000">
              <w:rPr>
                <w:sz w:val="20"/>
                <w:szCs w:val="20"/>
                <w:rtl w:val="0"/>
              </w:rPr>
              <w:t xml:space="preserve">info@finsom.ch</w:t>
            </w:r>
          </w:p>
          <w:p w:rsidR="00000000" w:rsidDel="00000000" w:rsidP="00000000" w:rsidRDefault="00000000" w:rsidRPr="00000000" w14:paraId="0000004F">
            <w:pPr>
              <w:spacing w:line="240" w:lineRule="auto"/>
              <w:jc w:val="both"/>
              <w:rPr>
                <w:sz w:val="20"/>
                <w:szCs w:val="20"/>
              </w:rPr>
            </w:pPr>
            <w:r w:rsidDel="00000000" w:rsidR="00000000" w:rsidRPr="00000000">
              <w:rPr>
                <w:sz w:val="20"/>
                <w:szCs w:val="20"/>
                <w:rtl w:val="0"/>
              </w:rPr>
              <w:t xml:space="preserve">www.finsom.ch</w:t>
            </w:r>
          </w:p>
        </w:tc>
      </w:tr>
    </w:tbl>
    <w:p w:rsidR="00000000" w:rsidDel="00000000" w:rsidP="00000000" w:rsidRDefault="00000000" w:rsidRPr="00000000" w14:paraId="00000050">
      <w:pPr>
        <w:widowControl w:val="0"/>
        <w:spacing w:after="120" w:before="120" w:line="240" w:lineRule="auto"/>
        <w:jc w:val="both"/>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p>
    <w:sectPr>
      <w:headerReference r:id="rId6" w:type="default"/>
      <w:pgSz w:h="16838" w:w="11906" w:orient="portrait"/>
      <w:pgMar w:bottom="1440" w:top="1440" w:left="936.0000000000001" w:right="936.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spacing w:after="120" w:line="240" w:lineRule="auto"/>
      <w:jc w:val="center"/>
      <w:rPr>
        <w:sz w:val="20"/>
        <w:szCs w:val="20"/>
      </w:rPr>
    </w:pPr>
    <w:r w:rsidDel="00000000" w:rsidR="00000000" w:rsidRPr="00000000">
      <w:rPr>
        <w:sz w:val="20"/>
        <w:szCs w:val="20"/>
      </w:rPr>
      <w:drawing>
        <wp:inline distB="0" distT="0" distL="0" distR="0">
          <wp:extent cx="2184400" cy="800100"/>
          <wp:effectExtent b="0" l="0" r="0" t="0"/>
          <wp:docPr descr="image1.jpg" id="1" name="image1.jpg"/>
          <a:graphic>
            <a:graphicData uri="http://schemas.openxmlformats.org/drawingml/2006/picture">
              <pic:pic>
                <pic:nvPicPr>
                  <pic:cNvPr descr="image1.jpg" id="0" name="image1.jpg"/>
                  <pic:cNvPicPr preferRelativeResize="0"/>
                </pic:nvPicPr>
                <pic:blipFill>
                  <a:blip r:embed="rId1"/>
                  <a:srcRect b="0" l="0" r="0" t="0"/>
                  <a:stretch>
                    <a:fillRect/>
                  </a:stretch>
                </pic:blipFill>
                <pic:spPr>
                  <a:xfrm>
                    <a:off x="0" y="0"/>
                    <a:ext cx="21844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spacing w:after="120" w:line="240" w:lineRule="auto"/>
      <w:jc w:val="center"/>
      <w:rPr>
        <w:sz w:val="20"/>
        <w:szCs w:val="20"/>
      </w:rPr>
    </w:pPr>
    <w:r w:rsidDel="00000000" w:rsidR="00000000" w:rsidRPr="00000000">
      <w:rPr>
        <w:sz w:val="20"/>
        <w:szCs w:val="20"/>
        <w:rtl w:val="0"/>
      </w:rPr>
      <w:t xml:space="preserve">RICHTWERT CAPITAL AG, Aufdorfstrasse 145, 8708 Männedorf</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